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10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908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69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емьи, в которой родились двойняшки — 6</w:t>
      </w:r>
      <w:r>
        <w:rPr>
          <w:rFonts w:cs="Times New Roman" w:ascii="Times New Roman" w:hAnsi="Times New Roman"/>
          <w:color w:val="auto"/>
          <w:sz w:val="28"/>
          <w:szCs w:val="28"/>
        </w:rPr>
        <w:t>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рекламно-информационного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LibreOffice/7.0.6.2$Linux_X86_64 LibreOffice_project/00$Build-2</Application>
  <AppVersion>15.0000</AppVersion>
  <Pages>1</Pages>
  <Words>174</Words>
  <Characters>1286</Characters>
  <CharactersWithSpaces>1453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dcterms:modified xsi:type="dcterms:W3CDTF">2023-10-24T11:02:06Z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